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rPr>
          <w:rFonts w:ascii="方正黑体_GBK" w:hAnsi="方正黑体_GBK" w:eastAsia="方正黑体_GBK" w:cs="方正黑体_GBK"/>
          <w:bCs/>
          <w:color w:val="2E2E2E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2E2E2E"/>
          <w:kern w:val="0"/>
          <w:sz w:val="32"/>
          <w:szCs w:val="32"/>
        </w:rPr>
        <w:t>附件2</w:t>
      </w:r>
    </w:p>
    <w:p>
      <w:pPr>
        <w:pStyle w:val="2"/>
        <w:spacing w:line="592" w:lineRule="exact"/>
        <w:ind w:firstLine="643"/>
      </w:pPr>
    </w:p>
    <w:p>
      <w:pPr>
        <w:widowControl/>
        <w:spacing w:line="592" w:lineRule="exact"/>
        <w:jc w:val="center"/>
        <w:rPr>
          <w:rFonts w:ascii="方正小标宋_GBK" w:hAnsi="方正小标宋_GBK" w:eastAsia="方正小标宋_GBK" w:cs="方正小标宋_GBK"/>
          <w:bCs/>
          <w:color w:val="2E2E2E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2E2E2E"/>
          <w:kern w:val="0"/>
          <w:sz w:val="44"/>
          <w:szCs w:val="44"/>
        </w:rPr>
        <w:t>楚雄技师学院2022年上半年紧缺人才招聘</w:t>
      </w:r>
    </w:p>
    <w:p>
      <w:pPr>
        <w:widowControl/>
        <w:spacing w:line="592" w:lineRule="exact"/>
        <w:jc w:val="center"/>
        <w:rPr>
          <w:rFonts w:ascii="方正小标宋_GBK" w:hAnsi="方正小标宋_GBK" w:eastAsia="方正小标宋_GBK" w:cs="方正小标宋_GBK"/>
          <w:bCs/>
          <w:color w:val="2E2E2E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2E2E2E"/>
          <w:kern w:val="0"/>
          <w:sz w:val="44"/>
          <w:szCs w:val="44"/>
        </w:rPr>
        <w:t>专业素质考试评分表</w:t>
      </w:r>
    </w:p>
    <w:p>
      <w:pPr>
        <w:pStyle w:val="2"/>
        <w:ind w:firstLine="643"/>
      </w:pPr>
    </w:p>
    <w:tbl>
      <w:tblPr>
        <w:tblStyle w:val="3"/>
        <w:tblW w:w="99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915"/>
        <w:gridCol w:w="4680"/>
        <w:gridCol w:w="661"/>
        <w:gridCol w:w="742"/>
        <w:gridCol w:w="700"/>
        <w:gridCol w:w="700"/>
        <w:gridCol w:w="6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80" w:type="dxa"/>
            <w:vMerge w:val="restart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具体要求</w:t>
            </w:r>
          </w:p>
        </w:tc>
        <w:tc>
          <w:tcPr>
            <w:tcW w:w="280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(先靠等，再量分)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80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6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6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面试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FF0000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（30分）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1、考核思想素质：考生对职业教育、职业技能、报考岗位、专业、师生关系以及对自身的认识和评价。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2、考核外貌体态：衣着、举止端庄大方，精神状态良好，身体健康无缺陷。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3、考核语言表达：口齿清楚，表达准确流畅、逻辑性强。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26-30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18-25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10-17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1-9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885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专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核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(70分）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教案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撰写</w:t>
            </w: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(10分）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1、教案要求写成详案。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2、教案规范，重点突出，难点明确，过程清晰。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3、教案设计要科学、新颖、具可操作性。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9-10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7-8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4-6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eastAsia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  <w:jc w:val="center"/>
        </w:trPr>
        <w:tc>
          <w:tcPr>
            <w:tcW w:w="8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课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（60分）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1、教学目的明确、具体，符合教学要求。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2、教学要求适度，符合实际，面向多数学生。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3、教学内容无知识性错误，深入浅出。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4、重点突出，难点讲清，理论联系实际。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5、合理安排教学，内容与时间分配适度。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6、主次清楚，条理分明，前后连贯。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7、方法选择适当，注意启发性、直观性。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8、语言清晰，普通话教学。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9、板书规范，简明扼要。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10、教态自然、大方、端庄。</w:t>
            </w:r>
          </w:p>
          <w:p>
            <w:pPr>
              <w:widowControl/>
              <w:autoSpaceDE w:val="0"/>
              <w:autoSpaceDN w:val="0"/>
              <w:spacing w:line="400" w:lineRule="exact"/>
              <w:ind w:firstLine="420" w:firstLineChars="200"/>
              <w:rPr>
                <w:rFonts w:eastAsia="仿宋"/>
                <w:color w:val="FF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11、善于引导学生，做到教学与育人相结合。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50-60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35-49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20-34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1-19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8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总分100分</w:t>
            </w:r>
          </w:p>
        </w:tc>
        <w:tc>
          <w:tcPr>
            <w:tcW w:w="28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得分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tLeast"/>
              <w:ind w:firstLine="420" w:firstLineChars="200"/>
              <w:rPr>
                <w:rFonts w:eastAsia="仿宋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EAF2"/>
    <w:rsid w:val="25051164"/>
    <w:rsid w:val="6D77E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2022-07-05T10:06:00Z</dcterms:created>
  <dc:creator>user</dc:creator>
  <cp:lastModifiedBy>Administrator</cp:lastModifiedBy>
  <dcterms:modified xsi:type="dcterms:W3CDTF">2022-07-05T07:25:41Z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